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附件2：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　　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惠州市研发投入高新技术企业二十强（2023年）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惠州市德赛西威汽车电子股份有限公司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伯恩光学（惠州）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惠州亿纬锂能股份有限公司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广东利元亨智能装备股份有限公司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惠州锂威新能源科技有限公司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惠州华阳通用电子有限公司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胜宏科技（惠州）股份有限公司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惠州市赢合科技有限公司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伯恩高新科技（惠州）有限公司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欣旺达惠州动力新能源有限公司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惠州视维新技术有限公司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惠州迪芬尼声学科技股份有限公司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广东九联科技股份有限公司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惠州市盈旺精密技术股份有限公司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惠州中京电子科技有限公司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惠州光弘科技股份有限公司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惠州硕贝德无线科技股份有限公司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惠州市豪鹏科技有限公司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惠州市华阳多媒体电子有限公司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惠州市宙邦化工有限公司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注：研发投入高企二十强：是研发能力在我市具有领先水平、通过持续的研发投入促进核心技术自主可控的高新技术企业，上年度进行税前加计扣除的研发投入在我市排名前20位且占营业收入的比重不低于3%。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CE9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2023-08-07T03:47:05Z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8D8F23E4FF924C0F89DC248B2BC83F69_12</vt:lpwstr>
  </property>
</Properties>
</file>