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40"/>
        </w:rPr>
      </w:pPr>
      <w:r>
        <w:rPr>
          <w:rFonts w:hint="eastAsia" w:ascii="黑体" w:hAnsi="黑体" w:eastAsia="黑体" w:cs="黑体"/>
          <w:b/>
          <w:bCs/>
          <w:sz w:val="32"/>
          <w:szCs w:val="40"/>
        </w:rPr>
        <w:t>2023-2024年省级促进经济高质量发展专项资金（产业创新能力建设-工业设计发展）项目资金安排计划</w:t>
      </w:r>
    </w:p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13"/>
        <w:gridCol w:w="1513"/>
        <w:gridCol w:w="2338"/>
        <w:gridCol w:w="2012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80" w:hRule="atLeast"/>
        </w:trPr>
        <w:tc>
          <w:tcPr>
            <w:tcW w:w="10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所在区</w:t>
            </w:r>
          </w:p>
        </w:tc>
        <w:tc>
          <w:tcPr>
            <w:tcW w:w="23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项目承担单位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10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黄埔区</w:t>
            </w:r>
          </w:p>
        </w:tc>
        <w:tc>
          <w:tcPr>
            <w:tcW w:w="23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工业设计成果产业化项目</w:t>
            </w: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广州毅昌科技股份有限公司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10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天河区</w:t>
            </w:r>
          </w:p>
        </w:tc>
        <w:tc>
          <w:tcPr>
            <w:tcW w:w="23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数据驱动的设计战略咨询服务</w:t>
            </w:r>
          </w:p>
        </w:tc>
        <w:tc>
          <w:tcPr>
            <w:tcW w:w="20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广州市云巢工业设计有限公司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150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32"/>
        </w:rPr>
      </w:pPr>
    </w:p>
    <w:p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A7333A0"/>
    <w:rsid w:val="0DAE2941"/>
    <w:rsid w:val="2B25527B"/>
    <w:rsid w:val="2FB7339B"/>
    <w:rsid w:val="6836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2024-02-28T01:38:56Z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04C8961C5F5045A1831AE6EB0A4A43EE_12</vt:lpwstr>
  </property>
</Properties>
</file>