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4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2024年省级企业技术中心项目资金安排计划</w:t>
      </w:r>
      <w:r>
        <w:rPr>
          <w:rStyle w:val="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（第一批）</w:t>
      </w:r>
    </w:p>
    <w:p>
      <w:pPr>
        <w:jc w:val="left"/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09565" cy="3486150"/>
            <wp:effectExtent l="0" t="0" r="635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left"/>
        <w:rPr>
          <w:rStyle w:val="4"/>
          <w:rFonts w:hint="eastAsia" w:ascii="宋体" w:hAnsi="宋体" w:eastAsia="宋体" w:cs="宋体"/>
          <w:b w:val="0"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7C25BB0"/>
    <w:rsid w:val="1F0B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2024-03-07T02:29:20Z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79E49B20F0494B028C2BA59E93CEFC2B_12</vt:lpwstr>
  </property>
</Properties>
</file>