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2024年广东省促进经济高质量发展专项资金（口岸建设事项）资金拟安排项目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16"/>
        <w:gridCol w:w="1986"/>
        <w:gridCol w:w="3868"/>
        <w:gridCol w:w="17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项目单位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支持金额（万元）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中华人民共和国广州海关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广东口岸国际航行船舶压舱水及沉积物生物安全检测平台建设项目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中华人民共和国广州海关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广州出入境生物医药产品性能与效果评价中心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中华人民共和国黄埔海关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黄埔综保区高水平开放和口岸业务运行智慧管控项目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广州琶洲港澳客运码头有限公司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广州港口岸琶洲港澳客运码头海事查验监管配套设施建设项目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广东中外运东江仓码有限公司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广东中外运东江仓码有限公司龙门吊智能远控改造项目（二期）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1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广州市综合交通枢纽有限公司</w:t>
            </w:r>
          </w:p>
        </w:tc>
        <w:tc>
          <w:tcPr>
            <w:tcW w:w="22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增城西铁路物流园跨境电商海关监管中心</w:t>
            </w:r>
          </w:p>
        </w:tc>
        <w:tc>
          <w:tcPr>
            <w:tcW w:w="10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60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2024-03-11T11:04:33Z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CAC689A0A8F1489FB2B63ACC807EF2D9_12</vt:lpwstr>
  </property>
</Properties>
</file>