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26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附件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26" w:lineRule="atLeast"/>
        <w:ind w:left="0" w:right="0" w:firstLine="0"/>
        <w:jc w:val="center"/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宋体" w:hAnsi="宋体" w:eastAsia="宋体" w:cs="宋体"/>
          <w:b/>
          <w:bCs w:val="0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第十一批广州市博士后创新实践基地拟入选单位名单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46"/>
        <w:gridCol w:w="69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单位名称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广东腐蚀科学与技术创新研究院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万力轮胎股份有限公司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广州市名花香料有限公司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广州海力特生物科技有限公司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广州维力医疗器械股份有限公司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广州南沙华农渔业研究院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广东南芯医疗科技有限公司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广东暨大基因药物工程研究中心有限公司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粤港澳大湾区精准医学研究院（广州）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广州市第十二人民医院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广东大湾区空天信息研究院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广东省大湾区集成电路与系统应用研究院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广东保伦电子股份有限公司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广东智能无人系统研究院（南沙）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广州科技贸易职业学院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广州市新豪精密科技有限公司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广州广合科技股份有限公司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广州珠江建设发展有限公司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永道工程咨询有限公司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广州市吉华勘测股份有限公司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广州花卉研究中心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广州回天新材料有限公司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广东粤港澳大湾区黄埔材料研究院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广东粤港澳大湾区国家纳米科技创新研究院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广州市中西医结合医院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人工智能与数字经济广东省实验室（广州）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云宏信息科技股份有限公司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广州普华灵动机器人技术有限公司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广东稳固检测鉴定有限公司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国信信扬律师事务所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合生元（广州）健康产品有限公司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0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41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广州微远基因科技有限公司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0D2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2024-03-12T02:03:42Z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B3CB7D2D139F4959947969410BF60709_12</vt:lpwstr>
  </property>
</Properties>
</file>