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2024年省级促进经济高质量发展专项资金（重点展会和展会配套体系）项目安排计划（初步安排）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8"/>
        <w:gridCol w:w="2064"/>
        <w:gridCol w:w="2528"/>
        <w:gridCol w:w="33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21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公司名称</w:t>
            </w:r>
          </w:p>
        </w:tc>
        <w:tc>
          <w:tcPr>
            <w:tcW w:w="148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95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计划支持金额（万元）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广州光亚法兰克福展览有限公司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广州国际照明展览会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广州佳美展览有限公司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中国国际美博会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广东鸿威国际会展集团有限公司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亚洲乐园及景点博览会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广州益武国际展览有限公司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中国（广州）国际茶业博览会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广东新之联展览服务有限公司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中国国际陶瓷工业技术与产品展览会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广东科展国际展览有限公司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2023广州国际专业灯光、音响展览会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广东科展国际展览有限公司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2023华南国际口腔医疗器材展览会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21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广州博泓国际展览有限公司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中国烘焙展览会</w:t>
            </w:r>
          </w:p>
        </w:tc>
        <w:tc>
          <w:tcPr>
            <w:tcW w:w="195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52.5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95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2024-04-25T03:21:06Z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4875F78D98A64549B6FD55F876F2D62D_12</vt:lpwstr>
  </property>
</Properties>
</file>