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2024年省级促进经济高质量发展专项资金（促进外贸发展方向）进口贴息项目进口基地类资金安排表（拟）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3"/>
        <w:gridCol w:w="5157"/>
        <w:gridCol w:w="2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302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单位名称</w:t>
            </w:r>
          </w:p>
        </w:tc>
        <w:tc>
          <w:tcPr>
            <w:tcW w:w="137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拟支持金额（元）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北大荒中垦（广东）食品科技有限公司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313,198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广东卓志跨境电商供应链服务有限公司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2,000,000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广东裕龙汇供应链管理有限公司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554,573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广州珠江电力燃料有限公司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2,000,000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广州发展天然气贸易有限公司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1,221,223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南航南沙融资租赁（广州）有限公司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589,014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广州南沙南航天吉租赁有限公司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1,553,611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广东海大集团股份有限公司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880,749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广州丰优贸易有限公司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673,113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欧泰贡（广东）食品有限公司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378,117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广州钻石交易中心有限责任公司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353,190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广州粤和能源有限公司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1,670,029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广东广物国际能源集团有限公司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1,079,113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广东俊杰农产品有限公司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1,864,338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广东省电力工业燃料有限公司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554,394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广东省中科进出口有限公司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579,314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粤海永顺泰（广州）麦芽有限公司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1,674,309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健合（中国）有限公司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1,681,714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粤海永顺泰集团股份有限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359,372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美赞臣营养品（中国）有限公司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1,969,358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30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广州市卓志进出口有限公司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601,271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23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22,550,000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9BA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2024-05-09T02:04:11Z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A0DD6128977046B6A68566C85A755C64_12</vt:lpwstr>
  </property>
</Properties>
</file>