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2024年中央外经贸发展专项资金（开拓重点市场事项）品牌培育项目初步安排计划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9"/>
        <w:gridCol w:w="4140"/>
        <w:gridCol w:w="1591"/>
        <w:gridCol w:w="19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243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企业名称</w:t>
            </w:r>
          </w:p>
        </w:tc>
        <w:tc>
          <w:tcPr>
            <w:tcW w:w="93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区域</w:t>
            </w:r>
          </w:p>
        </w:tc>
        <w:tc>
          <w:tcPr>
            <w:tcW w:w="112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拟安排扶持金额（元）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24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广东盈浩工艺制品有限公司</w:t>
            </w:r>
          </w:p>
        </w:tc>
        <w:tc>
          <w:tcPr>
            <w:tcW w:w="9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海珠区</w:t>
            </w:r>
          </w:p>
        </w:tc>
        <w:tc>
          <w:tcPr>
            <w:tcW w:w="112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396,482.85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24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广州金升阳科技有限公司</w:t>
            </w:r>
          </w:p>
        </w:tc>
        <w:tc>
          <w:tcPr>
            <w:tcW w:w="9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112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852,366.19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24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广州三晶电气股份有限公司</w:t>
            </w:r>
          </w:p>
        </w:tc>
        <w:tc>
          <w:tcPr>
            <w:tcW w:w="9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112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323,853.37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24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广州达意隆包装机械股份有限公司</w:t>
            </w:r>
          </w:p>
        </w:tc>
        <w:tc>
          <w:tcPr>
            <w:tcW w:w="9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112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31,193.19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24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广州珠江恺撒堡钢琴有限公司</w:t>
            </w:r>
          </w:p>
        </w:tc>
        <w:tc>
          <w:tcPr>
            <w:tcW w:w="9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增城区</w:t>
            </w:r>
          </w:p>
        </w:tc>
        <w:tc>
          <w:tcPr>
            <w:tcW w:w="112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149,834.48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70" w:type="pct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合计</w:t>
            </w:r>
          </w:p>
        </w:tc>
        <w:tc>
          <w:tcPr>
            <w:tcW w:w="112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1,753,730.08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7311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2024-06-06T02:50:20Z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258E3E2484554512808C090996B4B617_12</vt:lpwstr>
  </property>
</Properties>
</file>