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2023年国家级制造业单项冠军奖补资金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（省级财政专项）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"/>
        <w:gridCol w:w="3870"/>
        <w:gridCol w:w="1461"/>
        <w:gridCol w:w="215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企业名称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镇街（园区）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资助金额（万元）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中集集装箱（集团）有限公司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广东奥普特科技股份有限公司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长安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广东大普通信技术股份有限公司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易事特集团股份有限公司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东莞长联新材料科技股份有限公司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寮步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广东正业科技股份有限公司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东莞市奥海科技股份有限公司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塘厦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广东鼎泰高科技术股份有限公司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厚街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广东中图半导体科技股份有限公司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2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广东菲鹏生物有限公司</w:t>
            </w:r>
          </w:p>
        </w:tc>
        <w:tc>
          <w:tcPr>
            <w:tcW w:w="8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12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备注：根据省奖补标准，未获得过专精特新“小巨人”奖补的企业，获得120万元一次性奖补；已获得过专精特新“小巨人”奖补的企业，获得20万元一次性奖补。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AD87142"/>
    <w:rsid w:val="418D4040"/>
    <w:rsid w:val="553E240E"/>
    <w:rsid w:val="66BC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2024-06-14T01:52:18Z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C09FBFCD60AD4B9E81F40FD066AA6376_12</vt:lpwstr>
  </property>
</Properties>
</file>