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560" w:lineRule="exact"/>
        <w:ind w:left="630" w:firstLine="0" w:firstLineChars="0"/>
        <w:jc w:val="center"/>
        <w:rPr>
          <w:rFonts w:ascii="方正小标宋简体" w:hAnsi="方正小标宋简体" w:eastAsia="方正小标宋简体" w:cs="Times New Roman"/>
          <w:sz w:val="44"/>
          <w:szCs w:val="44"/>
        </w:rPr>
      </w:pPr>
      <w:bookmarkStart w:id="0" w:name="_GoBack"/>
      <w:r>
        <w:rPr>
          <w:rFonts w:ascii="方正小标宋简体" w:hAnsi="方正小标宋简体" w:eastAsia="方正小标宋简体" w:cs="Times New Roman"/>
          <w:sz w:val="44"/>
          <w:szCs w:val="44"/>
        </w:rPr>
        <w:t>广州市智能网联汽车（车联网）示范</w:t>
      </w:r>
    </w:p>
    <w:p>
      <w:pPr>
        <w:pStyle w:val="4"/>
        <w:spacing w:line="560" w:lineRule="exact"/>
        <w:ind w:left="630" w:firstLine="0" w:firstLineChars="0"/>
        <w:jc w:val="center"/>
        <w:rPr>
          <w:rFonts w:ascii="方正小标宋简体" w:hAnsi="方正小标宋简体" w:eastAsia="方正小标宋简体" w:cs="Times New Roman"/>
          <w:sz w:val="44"/>
          <w:szCs w:val="44"/>
        </w:rPr>
      </w:pPr>
      <w:r>
        <w:rPr>
          <w:rFonts w:ascii="方正小标宋简体" w:hAnsi="方正小标宋简体" w:eastAsia="方正小标宋简体" w:cs="Times New Roman"/>
          <w:sz w:val="44"/>
          <w:szCs w:val="44"/>
        </w:rPr>
        <w:t>应用场景目录（第三批）</w:t>
      </w:r>
    </w:p>
    <w:bookmarkEnd w:id="0"/>
    <w:p>
      <w:pPr>
        <w:pStyle w:val="4"/>
        <w:spacing w:line="560" w:lineRule="exact"/>
        <w:ind w:left="630" w:firstLine="0" w:firstLineChars="0"/>
        <w:jc w:val="center"/>
        <w:rPr>
          <w:rFonts w:ascii="Times New Roman" w:hAnsi="Times New Roman" w:eastAsia="仿宋" w:cs="Times New Roman"/>
          <w:b/>
          <w:bCs/>
          <w:sz w:val="36"/>
          <w:szCs w:val="44"/>
        </w:rPr>
      </w:pPr>
    </w:p>
    <w:p>
      <w:pPr>
        <w:numPr>
          <w:ilvl w:val="0"/>
          <w:numId w:val="1"/>
        </w:numPr>
        <w:ind w:firstLine="643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自动驾驶乘用车：</w:t>
      </w:r>
      <w:r>
        <w:rPr>
          <w:rFonts w:ascii="Times New Roman" w:hAnsi="Times New Roman" w:eastAsia="仿宋" w:cs="Times New Roman"/>
          <w:sz w:val="32"/>
          <w:szCs w:val="32"/>
        </w:rPr>
        <w:t>利用车联网相关技术，对现有自动驾驶技术和运营手段进行优化。优化远程监管系统，优化安全员配置，降低运营成本，加速推进无人自动驾驶商业化落地进程。</w:t>
      </w:r>
    </w:p>
    <w:p>
      <w:pPr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主要技术指标要求：感知误差≤10cm；示范运营总行驶里程中自动驾驶行驶里程占比≥90%；平均脱离间隔里程≥200km；远程网络延时≤250ms。</w:t>
      </w:r>
    </w:p>
    <w:p>
      <w:pPr>
        <w:numPr>
          <w:ilvl w:val="0"/>
          <w:numId w:val="1"/>
        </w:numPr>
        <w:ind w:firstLine="643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自动驾驶公交车：</w:t>
      </w:r>
      <w:r>
        <w:rPr>
          <w:rFonts w:ascii="Times New Roman" w:hAnsi="Times New Roman" w:eastAsia="仿宋" w:cs="Times New Roman"/>
          <w:sz w:val="32"/>
          <w:szCs w:val="32"/>
        </w:rPr>
        <w:t>利用车联网相关技术，优化公交车实时感知能力，打造专属调度系统，降低人工接管频次，提升运营效率，为未来完全无人驾驶公交车规模化推广奠定基础。</w:t>
      </w:r>
    </w:p>
    <w:p>
      <w:pPr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主要技术指标要求：最高设计车速≥40km/h；停靠位置误差≤20cm；自动驾驶系统平均脱离间隔里程≥100km。</w:t>
      </w:r>
    </w:p>
    <w:p>
      <w:pPr>
        <w:numPr>
          <w:ilvl w:val="0"/>
          <w:numId w:val="1"/>
        </w:numPr>
        <w:ind w:firstLine="643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自动驾驶专用车：</w:t>
      </w:r>
      <w:r>
        <w:rPr>
          <w:rFonts w:ascii="Times New Roman" w:hAnsi="Times New Roman" w:eastAsia="仿宋" w:cs="Times New Roman"/>
          <w:sz w:val="32"/>
          <w:szCs w:val="32"/>
        </w:rPr>
        <w:t>利用车联网相关技术，开发可在指定区域内自动完成特定工作的专用车辆，如环卫车、自动巡检车等，并实现日常运行。降低人力成本，提升城市管理水平。</w:t>
      </w:r>
    </w:p>
    <w:p>
      <w:pPr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主要技术指标要求：最高设计车速≥20km/h；平均脱离间隔里程≥100km；网络时延≤20ms（5G通信环境下）；环境感知识别率≥98%（常见路况与障碍物）。</w:t>
      </w:r>
    </w:p>
    <w:p>
      <w:pPr>
        <w:numPr>
          <w:ilvl w:val="0"/>
          <w:numId w:val="1"/>
        </w:numPr>
        <w:ind w:firstLine="643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自动驾驶轻卡：</w:t>
      </w:r>
      <w:r>
        <w:rPr>
          <w:rFonts w:ascii="Times New Roman" w:hAnsi="Times New Roman" w:eastAsia="仿宋" w:cs="Times New Roman"/>
          <w:sz w:val="32"/>
          <w:szCs w:val="32"/>
        </w:rPr>
        <w:t>利用自动驾驶技术，针对支线物流场景开发适配的自动驾驶方案，提升运输效率，降低运营成本与安全风险，包括轻型载货汽车、微型载货汽车。</w:t>
      </w:r>
    </w:p>
    <w:p>
      <w:pPr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主要技术指标要求：平均脱离间隔里程≥100km；感知误差≤10cm；自动驾驶行驶里程占比≥90%。</w:t>
      </w:r>
    </w:p>
    <w:p>
      <w:pPr>
        <w:numPr>
          <w:ilvl w:val="0"/>
          <w:numId w:val="1"/>
        </w:numPr>
        <w:ind w:firstLine="643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自动驾驶重卡：</w:t>
      </w:r>
      <w:r>
        <w:rPr>
          <w:rFonts w:ascii="Times New Roman" w:hAnsi="Times New Roman" w:eastAsia="仿宋" w:cs="Times New Roman"/>
          <w:sz w:val="32"/>
          <w:szCs w:val="32"/>
        </w:rPr>
        <w:t>利用车联网相关技术，开发高快速路场景下的重卡网联自动驾驶方案，实现高速公路重卡单车自动驾驶或编队自动驾驶，并开展示范运行。提升物流安全性，降低运营成本，包括中型载货汽车、重型载货汽车。</w:t>
      </w:r>
    </w:p>
    <w:p>
      <w:pPr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主要技术指标要求：平均脱离间隔里程≥</w:t>
      </w:r>
      <w:r>
        <w:rPr>
          <w:rFonts w:hint="eastAsia" w:ascii="Times New Roman" w:hAnsi="Times New Roman" w:eastAsia="仿宋" w:cs="Times New Roman"/>
          <w:sz w:val="32"/>
          <w:szCs w:val="32"/>
        </w:rPr>
        <w:t>3</w:t>
      </w:r>
      <w:r>
        <w:rPr>
          <w:rFonts w:ascii="Times New Roman" w:hAnsi="Times New Roman" w:eastAsia="仿宋" w:cs="Times New Roman"/>
          <w:sz w:val="32"/>
          <w:szCs w:val="32"/>
        </w:rPr>
        <w:t>00km；规划建设路段5G/C-V2X通信网络综合覆盖率达100%；感知误差≤10cm；自动驾驶行驶里程占比≥90%。</w:t>
      </w:r>
    </w:p>
    <w:p>
      <w:pPr>
        <w:numPr>
          <w:ilvl w:val="0"/>
          <w:numId w:val="1"/>
        </w:numPr>
        <w:ind w:firstLine="643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功能型无人车：</w:t>
      </w:r>
      <w:r>
        <w:rPr>
          <w:rFonts w:ascii="Times New Roman" w:hAnsi="Times New Roman" w:eastAsia="仿宋" w:cs="Times New Roman"/>
          <w:sz w:val="32"/>
          <w:szCs w:val="32"/>
        </w:rPr>
        <w:t>利用车联网相关技术，开发可实现全场景无人驾驶作业，并完成各种服务功能的小型车辆（包括但不限于自动驾驶配送型、环卫型、售卖型、巡检型等），并实现日常运行。</w:t>
      </w:r>
    </w:p>
    <w:p>
      <w:pPr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主要技术指标要求：平均脱离间隔里程≥</w:t>
      </w:r>
      <w:r>
        <w:rPr>
          <w:rFonts w:hint="eastAsia" w:ascii="Times New Roman" w:hAnsi="Times New Roman" w:eastAsia="仿宋" w:cs="Times New Roman"/>
          <w:sz w:val="32"/>
          <w:szCs w:val="32"/>
        </w:rPr>
        <w:t>75</w:t>
      </w:r>
      <w:r>
        <w:rPr>
          <w:rFonts w:ascii="Times New Roman" w:hAnsi="Times New Roman" w:eastAsia="仿宋" w:cs="Times New Roman"/>
          <w:sz w:val="32"/>
          <w:szCs w:val="32"/>
        </w:rPr>
        <w:t>0km；感知误差≤5cm；防护等级不低于IP65（环卫型不低于IP55）；网络时延≤200ms，调度响应时间≤1s。</w:t>
      </w:r>
    </w:p>
    <w:p>
      <w:pPr>
        <w:numPr>
          <w:ilvl w:val="0"/>
          <w:numId w:val="1"/>
        </w:numPr>
        <w:ind w:firstLine="643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园区物流优化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</w:rPr>
        <w:t>：</w:t>
      </w:r>
      <w:r>
        <w:rPr>
          <w:rFonts w:ascii="Times New Roman" w:hAnsi="Times New Roman" w:eastAsia="仿宋" w:cs="Times New Roman"/>
          <w:sz w:val="32"/>
          <w:szCs w:val="32"/>
        </w:rPr>
        <w:t>采用车联网相关技术优化封闭或半封闭园区货流运输系统，优化线路规划，提高货物运输效率，降低人力成本，提高作业精度及安全性，对区域动静态交通环境进行针对性治理。包括但不限于机场、港口、矿山等应用场景。</w:t>
      </w:r>
    </w:p>
    <w:p>
      <w:pPr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主要技术指标要求：感知误差≤10cm；车路直连通信500m时延≤100ms（特殊场景除外）；标准工况下一次自动对位成功率≥90%，位置误差≤20cm。</w:t>
      </w:r>
    </w:p>
    <w:p>
      <w:pPr>
        <w:numPr>
          <w:ilvl w:val="0"/>
          <w:numId w:val="1"/>
        </w:numPr>
        <w:ind w:firstLine="643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V2X协同驾驶交通优化：</w:t>
      </w:r>
      <w:r>
        <w:rPr>
          <w:rFonts w:ascii="Times New Roman" w:hAnsi="Times New Roman" w:eastAsia="仿宋" w:cs="Times New Roman"/>
          <w:sz w:val="32"/>
          <w:szCs w:val="32"/>
        </w:rPr>
        <w:t>基于车联网相关技术，开发车载引导系统，实现各种道路车辆之间的信息共享，预测路段行车风险并进行适当引导，实现指定范围内事故率的降低及通行效率的提升。</w:t>
      </w:r>
    </w:p>
    <w:p>
      <w:pPr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主要技术指标要求：设计车速≥80km/h；侧方向感知精度≤0.5m，移动方向感知精度≤1m；绿波引导准确率≥90%。</w:t>
      </w:r>
    </w:p>
    <w:p>
      <w:pPr>
        <w:numPr>
          <w:ilvl w:val="0"/>
          <w:numId w:val="1"/>
        </w:numPr>
        <w:ind w:firstLine="643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自动驾驶车辆综合服务保障平台：</w:t>
      </w:r>
      <w:r>
        <w:rPr>
          <w:rFonts w:ascii="Times New Roman" w:hAnsi="Times New Roman" w:eastAsia="仿宋" w:cs="Times New Roman"/>
          <w:sz w:val="32"/>
          <w:szCs w:val="32"/>
        </w:rPr>
        <w:t>以“检测-诊断-维修-养护”全链条为核心，采用车联网相关技术，构建闭环运维体系。通过智能监测实时追踪，建立分级响应机制，确保高效处置。建立专业运营平台，实现工单智能分配、进度可视化管理。提升服务质量和运维效率，降低运营成本。</w:t>
      </w:r>
    </w:p>
    <w:p>
      <w:pPr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主要技术指标要求：远程指令响应≤0.8s；实时请求延迟≤3s；平台接入车辆能力≥300台，建设的服务站点≥3个，单站点可容纳停放车辆≥30台。</w:t>
      </w:r>
    </w:p>
    <w:p>
      <w:pPr>
        <w:numPr>
          <w:ilvl w:val="0"/>
          <w:numId w:val="1"/>
        </w:numPr>
        <w:ind w:firstLine="643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陆空一体交通系统：</w:t>
      </w:r>
      <w:r>
        <w:rPr>
          <w:rFonts w:ascii="Times New Roman" w:hAnsi="Times New Roman" w:eastAsia="仿宋" w:cs="Times New Roman"/>
          <w:sz w:val="32"/>
          <w:szCs w:val="32"/>
        </w:rPr>
        <w:t>采用车联网相关技术，建设综合性测试与验证平台，支撑智能网联汽车与低空飞行器协同发展，实现车辆与无人机在感知、通信、决策三个维度的全栈式协同验证。</w:t>
      </w:r>
    </w:p>
    <w:p>
      <w:pPr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主要技术指标要求：服务站点数≥3个；平台接入终端能力≥1000台。智能网联汽车感知误差≤10cm；自动驾驶行驶里程占比≥90%；远程网络延时≤250ms。低空飞行器可探测距离≥200m；探测时延≤300ms；通讯传输速率≥10Mbps；传输时延≤150ms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61D859"/>
    <w:multiLevelType w:val="singleLevel"/>
    <w:tmpl w:val="B261D859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3M2Y5NzIzMDFlZjAyY2Q4Njk5ODkyYjFjNzBiNTQifQ=="/>
  </w:docVars>
  <w:rsids>
    <w:rsidRoot w:val="0A8F08B8"/>
    <w:rsid w:val="0A8F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2026-06-17T06:59:00Z</dcterms:created>
  <dc:creator>shane</dc:creator>
  <cp:lastModifiedBy>shane</cp:lastModifiedBy>
  <dcterms:modified xsi:type="dcterms:W3CDTF">2026-06-17T07:01:07Z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E2366ADCBC7049A9982C7779AF51B580_11</vt:lpwstr>
  </property>
</Properties>
</file>