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B29BB">
      <w:pPr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  <w:t>附件1</w:t>
      </w:r>
    </w:p>
    <w:p w14:paraId="61F57E48">
      <w:pPr>
        <w:bidi w:val="0"/>
        <w:rPr>
          <w:rFonts w:hint="eastAsia"/>
          <w:lang w:val="en-US" w:eastAsia="zh-CN"/>
        </w:rPr>
      </w:pPr>
    </w:p>
    <w:p w14:paraId="61F6C64C">
      <w:pPr>
        <w:jc w:val="center"/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宋体" w:hAnsi="宋体" w:cs="Times New Roman"/>
          <w:b/>
          <w:kern w:val="2"/>
          <w:sz w:val="36"/>
          <w:szCs w:val="36"/>
          <w:lang w:val="en-US" w:eastAsia="zh-CN" w:bidi="ar-SA"/>
        </w:rPr>
        <w:t>2026年度广州市标准化战略专项资金第二批资助项目</w:t>
      </w:r>
      <w:r>
        <w:rPr>
          <w:rFonts w:hint="eastAsia" w:ascii="宋体" w:hAnsi="宋体" w:eastAsia="宋体" w:cs="Times New Roman"/>
          <w:b/>
          <w:kern w:val="2"/>
          <w:sz w:val="36"/>
          <w:szCs w:val="36"/>
          <w:lang w:val="en-US" w:eastAsia="zh-CN" w:bidi="ar-SA"/>
        </w:rPr>
        <w:t>分配明细表（其他类-定额资助）</w:t>
      </w:r>
    </w:p>
    <w:bookmarkEnd w:id="0"/>
    <w:p w14:paraId="48D0D7F1">
      <w:pPr>
        <w:rPr>
          <w:rFonts w:hint="eastAsia"/>
          <w:lang w:val="en-US" w:eastAsia="zh-CN"/>
        </w:rPr>
      </w:pPr>
      <w:r>
        <w:rPr>
          <w:rFonts w:hint="eastAsia" w:ascii="宋体" w:hAnsi="宋体" w:cs="Times New Roman"/>
          <w:b w:val="0"/>
          <w:bCs/>
          <w:kern w:val="2"/>
          <w:sz w:val="30"/>
          <w:szCs w:val="30"/>
          <w:lang w:val="en-US" w:eastAsia="zh-CN" w:bidi="ar-SA"/>
        </w:rPr>
        <w:t>单位：万元</w:t>
      </w: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3894"/>
        <w:gridCol w:w="2451"/>
        <w:gridCol w:w="5784"/>
        <w:gridCol w:w="1162"/>
      </w:tblGrid>
      <w:tr w14:paraId="5FC2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5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6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E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2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9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额度</w:t>
            </w:r>
          </w:p>
        </w:tc>
      </w:tr>
      <w:tr w14:paraId="61885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0855">
            <w:pPr>
              <w:pStyle w:val="6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FB3D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zh-CN"/>
              </w:rPr>
              <w:t>广州海关技术中心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2A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全国婴童用品标准化技术委员会（SAC/TC610）</w:t>
            </w:r>
          </w:p>
        </w:tc>
        <w:tc>
          <w:tcPr>
            <w:tcW w:w="5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36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国家级标委会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DF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4F20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3479">
            <w:pPr>
              <w:pStyle w:val="6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2226D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zh-CN"/>
              </w:rPr>
              <w:t>广东省食品检验所（广东省酒类检测中心）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82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广东省特殊食品标准化技术委员会</w:t>
            </w:r>
          </w:p>
        </w:tc>
        <w:tc>
          <w:tcPr>
            <w:tcW w:w="5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9B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省级标委会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E26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39E9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E366">
            <w:pPr>
              <w:pStyle w:val="6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AAD1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广州莲花山景区管理有限公司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12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广东广州莲花山景区旅游服务标准化试点</w:t>
            </w:r>
          </w:p>
        </w:tc>
        <w:tc>
          <w:tcPr>
            <w:tcW w:w="5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93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国家级标准化试点项目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49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5B4B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78310">
            <w:pPr>
              <w:pStyle w:val="6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57F98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广州市番禺区健康管理中心（广州市番禺区康复医院）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E92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广东广州番禺区健康管理中心健康管理服务标准化试点</w:t>
            </w:r>
          </w:p>
        </w:tc>
        <w:tc>
          <w:tcPr>
            <w:tcW w:w="57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E6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F3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1D0F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3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ABDFF">
            <w:pPr>
              <w:widowControl/>
              <w:adjustRightInd w:val="0"/>
              <w:snapToGrid w:val="0"/>
              <w:spacing w:before="0" w:line="240" w:lineRule="auto"/>
              <w:ind w:left="0" w:leftChars="0" w:right="0" w:right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kern w:val="2"/>
                <w:sz w:val="24"/>
                <w:szCs w:val="24"/>
                <w:u w:val="none"/>
                <w:lang w:val="en-US" w:eastAsia="zh-CN" w:bidi="zh-CN"/>
              </w:rPr>
              <w:t>合  计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12B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</w:tbl>
    <w:p w14:paraId="0D4E95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907F8"/>
    <w:rsid w:val="2859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14"/>
      <w:ind w:left="22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qFormat/>
    <w:uiPriority w:val="1"/>
    <w:pPr>
      <w:spacing w:before="4"/>
      <w:ind w:left="107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2026-07-02T02:59:00Z</dcterms:created>
  <dc:creator>叶菲</dc:creator>
  <cp:lastModifiedBy>叶菲</cp:lastModifiedBy>
  <dcterms:modified xsi:type="dcterms:W3CDTF">2026-07-02T03:00:32Z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818580A8427E422F81CEA4EC03D16474_11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